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F896" w14:textId="5EA5B4D5" w:rsidR="008304BA" w:rsidRPr="008304BA" w:rsidRDefault="008304BA" w:rsidP="008304BA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Қосшы қаласы бойынша білім бөлімі </w:t>
      </w:r>
      <w:r w:rsidR="005376F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251</w:t>
      </w:r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 орынға арналған 7 бағыт бойынша балаларға қосымша білім беруге мемлекеттік білім беру тапсырысын орналастыру туралы конкурс жариялайды.</w:t>
      </w:r>
    </w:p>
    <w:p w14:paraId="4B6B3BB4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«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Еңбек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нарығының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қажеттіліктерін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ескере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отырып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мектепке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дейінгі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тәрбиелеу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мен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оқытуға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орта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беруге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беруге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техникалық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кәсіптік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орта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білімнен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кейінгі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бар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кадрларды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даярлауға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тапсырысын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орналастыру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қағидаларын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бұдан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әрі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–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Қағидалар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бекіту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туралы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»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Қазақстан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Республикасы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Оқу-ағарту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министрінің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2022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жылғы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27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тамыздағы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№ 381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бұйрығына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сәйкес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, «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Ақмола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облысы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басқармасының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Косшы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қаласы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бойынша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бөлімі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» ММ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келесі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бағыттар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бойынша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беруге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тапсырысын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орналастыруға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 конкурс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жариялайды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:</w:t>
      </w:r>
    </w:p>
    <w:p w14:paraId="6BDE3E7B" w14:textId="19A7EB46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-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көркемдік-эстетикалық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(керамика,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қыш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бұйымдары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мүсіндеу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мүсін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керамикалық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мүсін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кесте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тігу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ілмекпен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тоқу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тігу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макраме; оригами,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қағаздан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жасау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қолөнері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гүлдер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құстар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жануарлар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кілем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тоқу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зергерлік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өнер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ағаштан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көркем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кескіндеме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металға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көркемдік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кескіндеме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керамикаға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көркем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кескіндеме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былғарыны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көркем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өңдеу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металды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көркемдік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өңдеу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пирография,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ағаш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күйдіру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былғары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мата;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киімді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көркемдік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үлгілеу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тамбурлы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кестелеу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ағашты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көркемдік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өңдеу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арт-терапия;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дизайны,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қыш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өнері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) –</w:t>
      </w:r>
      <w:r w:rsidR="0053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33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  </w:t>
      </w:r>
    </w:p>
    <w:p w14:paraId="480FE992" w14:textId="0021423C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-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әлеуметтік-педагогикалық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(журналистика, медиа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орталықтар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пікірсайыс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қозғалысы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еріктілер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қозғалысы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кәсіпкерлік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негіздері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шешендік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өнер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интеллектуалды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ойындар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клубы) – </w:t>
      </w:r>
      <w:proofErr w:type="gramStart"/>
      <w:r w:rsidR="0053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23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орын</w:t>
      </w:r>
      <w:proofErr w:type="spellEnd"/>
      <w:proofErr w:type="gram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25806DAB" w14:textId="230340CF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-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гуманитарлық</w:t>
      </w:r>
      <w:proofErr w:type="spellEnd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бағыт</w:t>
      </w:r>
      <w:proofErr w:type="spellEnd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тіл</w:t>
      </w:r>
      <w:proofErr w:type="spellEnd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курстары</w:t>
      </w:r>
      <w:proofErr w:type="spellEnd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)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– </w:t>
      </w:r>
      <w:r w:rsidR="0053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19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4AFBF49D" w14:textId="51DAA364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-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жаратылыстану-математикалық</w:t>
      </w:r>
      <w:proofErr w:type="spellEnd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бағыт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математикалық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курстар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) -</w:t>
      </w:r>
      <w:r w:rsidR="0053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25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.</w:t>
      </w:r>
    </w:p>
    <w:p w14:paraId="3EE40D6B" w14:textId="2FF3BB81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- </w:t>
      </w:r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туризм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өлкетану</w:t>
      </w:r>
      <w:proofErr w:type="spellEnd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бағыты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(тау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туризмі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су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туризмі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жорық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жартасқа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өрмелеу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үңгір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туризмі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велоспорт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туризмі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шаңғы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туризмі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сауықтыру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туризмі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экологиялық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туризм;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өлкетану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туристік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лагерьлер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этнографиялық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ауылдық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туризм;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ғылыми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туризм; тур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гидтер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географиялық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өлкетану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тарихи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өлкетану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экологиялық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өлкетану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мұражайтану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туризмі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тау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құтқарушы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жол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іздеуші-құтқарушы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археология) – </w:t>
      </w:r>
      <w:r w:rsidR="0053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44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 </w:t>
      </w:r>
    </w:p>
    <w:p w14:paraId="4DE3884E" w14:textId="07962FBF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- 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ғылыми-техникалық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бастапқы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техникалық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авиамодельдеу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автомодельдеу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судомодельдеу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ракетомодельдеу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робототехника; космонавтика; 3Д-модельдеу;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компьютерлік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графика; машина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жасау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ғарыштық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радиобайланыс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радиотехника; мотоцикл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спорты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картинг;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ату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спорты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инженерлік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жобалау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негіздері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робототехникалық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мехатрондық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жүйелердің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инженерлік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жобалау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негіздері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lastRenderedPageBreak/>
        <w:t>өнертапқыштық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рационализаторлық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радиоспорт; радиоэлектроника;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құрастыру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бағдарламалау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компьютерлік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дизайн;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кинобейне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жасау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желкенді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электротехника;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химиялық-техникалық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бағдарламалау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лего-құрастыру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спорттық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радиомоделизм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авто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негіздері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сәулеттік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сәулет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құрылыстарының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технологиясы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телестудия;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техникалық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бағдарламалау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әскери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техниканы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стендтік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моделизм;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шағын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көлемді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су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көлігін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аэроғарыштық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модельдеу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ғарыштық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ғылым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рендеринг –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физикалық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модель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проекциясын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ұшу-парашюттік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дайындық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квадроциклдер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қарда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жүргіштер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ағаш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ұстасы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автослесарь; багги; физика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робототехника; робототехника: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құрастыру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бағдарламалау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ұлттық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қолөнер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құтқарушы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 STEAM-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зертхана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(СТЭМ-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зертхана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ерекше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қажеттілігі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бар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арналған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құрастыру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киберспорт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ұшқышсыз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ұшу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аппараттары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); – </w:t>
      </w:r>
      <w:r w:rsidR="0053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98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2CF0E849" w14:textId="713817F1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bookmarkStart w:id="0" w:name="_Hlk216445527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-</w:t>
      </w:r>
      <w:proofErr w:type="spellStart"/>
      <w:r w:rsidRPr="008304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KZ" w:eastAsia="ru-RU"/>
        </w:rPr>
        <w:t>экологиялық-биологиялық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бағыт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(экология; орнитология;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шаруашылығы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гүл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өсіру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флористика; Зоология; флора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түр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құрамы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рациондар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анималисика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энтомология;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өсімдік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шаруашылығы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бау-бақша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мал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шаруашылығы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аквопоника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көкөніс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шаруашылығы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қоян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шаруашылығы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иппотерапия; ветеринария; геология;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Ландшафттану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 эколог-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зерттеуші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Өнеркәсіптік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экология; STEAM-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зертхана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gram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(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зерттеу</w:t>
      </w:r>
      <w:proofErr w:type="spellEnd"/>
      <w:proofErr w:type="gram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биологиясы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химия ); гидропоника;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экожурналистика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фитопатология) – </w:t>
      </w:r>
      <w:r w:rsidR="0053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9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орын</w:t>
      </w:r>
      <w:bookmarkEnd w:id="0"/>
      <w:proofErr w:type="spellEnd"/>
    </w:p>
    <w:p w14:paraId="310C0B17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Құжаттырдың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тізбесі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Ақмола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облысы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Қосшы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қаласы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бойынша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proofErr w:type="gram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болімінің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сайтында</w:t>
      </w:r>
      <w:proofErr w:type="spellEnd"/>
      <w:proofErr w:type="gram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.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нөмірленеді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тігіледі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басшысы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қояды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мөрмен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(бар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болса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не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басшының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қолымен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расталады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.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басшының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қойылған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мөрмен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расталған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электрондық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поштаға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жібереді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hyperlink r:id="rId4" w:history="1">
        <w:r w:rsidRPr="008304BA">
          <w:rPr>
            <w:rStyle w:val="ac"/>
            <w:rFonts w:ascii="Times New Roman" w:eastAsia="Times New Roman" w:hAnsi="Times New Roman" w:cs="Times New Roman"/>
            <w:spacing w:val="2"/>
            <w:sz w:val="28"/>
            <w:szCs w:val="28"/>
            <w:lang w:val="ru-KZ" w:eastAsia="ru-RU"/>
          </w:rPr>
          <w:t>kosshy.obrazovania@yandex.kz</w:t>
        </w:r>
      </w:hyperlink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егер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Электрондық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форматта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ұсыну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мүмкіндігі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болмаған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кезде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көрсетілген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қағаз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форматында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концелярияға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жібереді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.</w:t>
      </w:r>
    </w:p>
    <w:p w14:paraId="361251A4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Мекен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жайы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: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Қосшы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қаласы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Республика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көшесі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46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ғимарат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байланыс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телефоны: 87172607746</w:t>
      </w:r>
    </w:p>
    <w:p w14:paraId="77D2C3B6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   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беруге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тапсырысын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орналастыруға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үміткер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ұйымдар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бөліміне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аумақтылығы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proofErr w:type="gram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бойынша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)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мынадай</w:t>
      </w:r>
      <w:proofErr w:type="spellEnd"/>
      <w:proofErr w:type="gram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ұсынады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:    </w:t>
      </w:r>
    </w:p>
    <w:p w14:paraId="6BAB13BA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 1)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өтініш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1D20B518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2)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заңды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тұлға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құрмайтын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беретін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бағдарламаларын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асыратын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жеке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кәсіпкерлерді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қоспағанда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Жарғысы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қағидалардың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құрылтай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шартының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);</w:t>
      </w:r>
    </w:p>
    <w:p w14:paraId="0AD00A33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3)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пайдаланатын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жылжымайтын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мүлікке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құқық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белгілейтін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немесе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жалдау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шарты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6A240E02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lastRenderedPageBreak/>
        <w:t xml:space="preserve">      4)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Қазақстан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Республикасының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саласындағы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заңнамасына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сәйкес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арналған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бағдарламалары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043A4782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5)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педагогикалық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немесе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кәсіптік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бар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педагогтер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4AD60577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6)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жоғары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бірінші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санаттағы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, педагог-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сарапшы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, педагог-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зерттеуші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, педагог-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шебер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біліктілік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санаттары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бар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педагогтердің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олардың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жалпы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санынан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педагогикалық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құрамның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жалпы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санының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кемінде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10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пайызы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0F9C8BC3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7)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саласындағы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жұмыс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тәжірибесі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жарғыға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құрылтай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құжаттарымен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шарттармен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);</w:t>
      </w:r>
    </w:p>
    <w:p w14:paraId="03AA700A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8)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бойынша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асырылатын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бағдарламаларын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көрсете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отырып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ҰБДҚ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ақпараттық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жүйесінде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тіркеу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3C98EBF3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      9) «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Рұқсаттар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хабарламалар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туралы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»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Заңға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сәйкес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эпидемиологиялық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маңызы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шамалы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объекті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қызметінің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пайдаланылуының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басталуы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тоқтатылуы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туралы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хабарламалар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51A0AB95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10)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заңды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тұлғаны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немесе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жеке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кәсіпкерді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тіркеу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қайта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тіркеу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жылжымайтын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мүлікке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тіркелген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құқықтар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ауыртпалықтар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техникалық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сипаттамалары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1BE358F5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  11)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санитарлық-эпидемиологиялық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жағдайдың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«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Халықтың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санитариялық-эпидемиологиялық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саламаттылығы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саласындағы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қызметтерді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көрсетудің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кейбір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мәселелері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туралы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»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Қазақстан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Республикасы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Денсаулық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сақтау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министрінің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2020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жылғы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30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желтоқсандағы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№ ҚР ДСМ-336/2020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бұйрығына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сәйкес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Нормативтік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құқықтық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актілерді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тіркеу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тізілімінде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№ 22004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болып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тіркелген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ұйымдарында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күндізгі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болу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ұзақтығы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төрт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сағат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одан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да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көп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болғанда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тамақтандыруды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ұйымдастыру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7BD88312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  12)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балалардың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қосымша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беруге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тапсырысын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орналастыруға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тапсырғанға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дейін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кемінде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ай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кірістер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органдарында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есепке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алу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жүргізілетін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берешектің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жоқ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болуы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екендігі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туралы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мәліметтер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3C294219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13)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өртке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қарсы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қауіпсіздік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жүйелері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;</w:t>
      </w:r>
    </w:p>
    <w:p w14:paraId="15D99CF7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      14)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нұсқаулыққа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сәйкес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терроризмге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қарсы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қорғау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талаптары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.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Нұсқаулыққа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сәйкес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облыстық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маңызы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бар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қалаларда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орналасқан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толымдылығына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қарамастан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білім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беру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объектілері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 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міндетті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түрде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жарақтандырылады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: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Ескерту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. 66-тармақ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жаңа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редакцияда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-ҚР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ағарту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Министрінің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2022.12.05 № 485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алғашқы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ресми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жарияланған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күнінен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кейін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қолданысқа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енгізіледі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бұйрығымен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өзгеріс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енгізілді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-ҚР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ағарту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Министрінің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04.04.2024 № 73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алғашқы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ресми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жарияланған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күнінен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кейін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күнтізбелік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он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өткен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соң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қолданысқа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енгізіледі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бұйрығымен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.</w:t>
      </w:r>
    </w:p>
    <w:p w14:paraId="58676813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lastRenderedPageBreak/>
        <w:t xml:space="preserve">1)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Қазақстан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Республикасы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Ішкі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министрінің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2014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жылғы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26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желтоқсандағы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№ 945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бұйрығымен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бекітілген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бейбіт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соғыс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уақытындағы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төтенше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жағдайлар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кезінде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халықты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мемлекеттік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органдарды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азаматтық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қорғау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құлақтандыру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жүйесін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ұйымдастыру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қағидаларына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сәйкес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келетін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құлақтандыру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жүйесімен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</w:p>
    <w:p w14:paraId="12109186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2)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бейнебақылау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жүйесі</w:t>
      </w:r>
      <w:proofErr w:type="spellEnd"/>
    </w:p>
    <w:p w14:paraId="20AB7562" w14:textId="77777777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3)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аумақтық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ішкі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органдарының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не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күзет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қызметі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субъектілерінің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кезекші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бөлімдеріне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орталықтандырылған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бақылау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пультіне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дабыл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түймесі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шығара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отырып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мобильді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және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/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немесе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стационарлық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дабыл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құралымен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қамтамасыз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етіледі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.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Күзет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қызметі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субъектілерінің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орталықтандырылған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бақылау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пультіне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дабыл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сигналы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түскен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кезде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ішкі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істер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органдарын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дереу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хабардар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етеді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; </w:t>
      </w:r>
    </w:p>
    <w:p w14:paraId="6CC2F0D0" w14:textId="33765056" w:rsidR="008304BA" w:rsidRPr="008304BA" w:rsidRDefault="008304BA" w:rsidP="008304BA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</w:pP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қабылдау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202</w:t>
      </w:r>
      <w:r w:rsidR="000C3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6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жылғы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r w:rsidR="000C3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9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-</w:t>
      </w:r>
      <w:r w:rsidR="000C3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13 а</w:t>
      </w:r>
      <w:r w:rsidR="000C3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қпанға</w:t>
      </w:r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қоса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алғанда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жүргізіледі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.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Қала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бойынша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бір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балаға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төлем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құны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12235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теңге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. Комиссия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тіркеу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аяқталған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күннен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бастап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15 (он бес)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жұмыс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күні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ішінде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ұйымдар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ұсынған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құжаттарды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(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тігілген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нөмірленген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,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ұйым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басшысының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қолымен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расталған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 xml:space="preserve">) </w:t>
      </w:r>
      <w:proofErr w:type="spellStart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қарайды</w:t>
      </w:r>
      <w:proofErr w:type="spellEnd"/>
      <w:r w:rsidRPr="00830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KZ" w:eastAsia="ru-RU"/>
        </w:rPr>
        <w:t>.</w:t>
      </w:r>
    </w:p>
    <w:p w14:paraId="63EB7034" w14:textId="0BC117B4" w:rsidR="003C3B2B" w:rsidRPr="008304BA" w:rsidRDefault="003C3B2B" w:rsidP="008304BA">
      <w:pPr>
        <w:rPr>
          <w:lang w:val="ru-KZ"/>
        </w:rPr>
      </w:pPr>
    </w:p>
    <w:sectPr w:rsidR="003C3B2B" w:rsidRPr="0083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DE"/>
    <w:rsid w:val="00057761"/>
    <w:rsid w:val="00087017"/>
    <w:rsid w:val="000C3DA2"/>
    <w:rsid w:val="000D3A2B"/>
    <w:rsid w:val="00145581"/>
    <w:rsid w:val="0020083A"/>
    <w:rsid w:val="003C3B2B"/>
    <w:rsid w:val="005376F7"/>
    <w:rsid w:val="005D72EE"/>
    <w:rsid w:val="00675B49"/>
    <w:rsid w:val="00715503"/>
    <w:rsid w:val="00801EFC"/>
    <w:rsid w:val="00826494"/>
    <w:rsid w:val="008304BA"/>
    <w:rsid w:val="008565E4"/>
    <w:rsid w:val="008A68AE"/>
    <w:rsid w:val="008E324C"/>
    <w:rsid w:val="00A86DF8"/>
    <w:rsid w:val="00B81DDE"/>
    <w:rsid w:val="00C34BD0"/>
    <w:rsid w:val="00C90991"/>
    <w:rsid w:val="00E4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59"/>
  <w15:chartTrackingRefBased/>
  <w15:docId w15:val="{61CBF9F5-F6BE-4795-A7D5-5D4D007F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D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81D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81DDE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1DDE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81DDE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81DDE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81DDE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81DDE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81DDE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8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DD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8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DDE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8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DDE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81D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D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DDE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81D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3B2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3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shy.obrazovania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Образования Отдел</dc:creator>
  <cp:keywords/>
  <dc:description/>
  <cp:lastModifiedBy>Образования Отдел</cp:lastModifiedBy>
  <cp:revision>4</cp:revision>
  <cp:lastPrinted>2026-01-05T07:25:00Z</cp:lastPrinted>
  <dcterms:created xsi:type="dcterms:W3CDTF">2026-02-02T07:02:00Z</dcterms:created>
  <dcterms:modified xsi:type="dcterms:W3CDTF">2026-02-02T07:28:00Z</dcterms:modified>
</cp:coreProperties>
</file>