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5232" w14:textId="77777777" w:rsidR="005A7A43" w:rsidRPr="00F70922" w:rsidRDefault="005A7A43" w:rsidP="005A7A43">
      <w:pPr>
        <w:jc w:val="center"/>
        <w:rPr>
          <w:rFonts w:ascii="Times New Roman" w:hAnsi="Times New Roman" w:cs="Times New Roman"/>
          <w:b/>
          <w:bCs/>
          <w:sz w:val="28"/>
          <w:szCs w:val="28"/>
          <w:lang w:val="kk-KZ"/>
        </w:rPr>
      </w:pPr>
      <w:r w:rsidRPr="00F70922">
        <w:rPr>
          <w:rFonts w:ascii="Times New Roman" w:hAnsi="Times New Roman" w:cs="Times New Roman"/>
          <w:b/>
          <w:bCs/>
          <w:sz w:val="28"/>
          <w:szCs w:val="28"/>
        </w:rPr>
        <w:t xml:space="preserve">Отдел образования по городу </w:t>
      </w:r>
      <w:proofErr w:type="spellStart"/>
      <w:r w:rsidRPr="00F70922">
        <w:rPr>
          <w:rFonts w:ascii="Times New Roman" w:hAnsi="Times New Roman" w:cs="Times New Roman"/>
          <w:b/>
          <w:bCs/>
          <w:sz w:val="28"/>
          <w:szCs w:val="28"/>
        </w:rPr>
        <w:t>Косшы</w:t>
      </w:r>
      <w:proofErr w:type="spellEnd"/>
      <w:r w:rsidRPr="00F70922">
        <w:rPr>
          <w:rFonts w:ascii="Times New Roman" w:hAnsi="Times New Roman" w:cs="Times New Roman"/>
          <w:b/>
          <w:bCs/>
          <w:sz w:val="28"/>
          <w:szCs w:val="28"/>
        </w:rPr>
        <w:t xml:space="preserve"> объявляет конкурс о размещении государственного образовательного заказа на дополнительное образование детей по 7 направлениям на 886 мест.</w:t>
      </w:r>
    </w:p>
    <w:p w14:paraId="2E4B2108"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sz w:val="28"/>
          <w:szCs w:val="28"/>
          <w:lang w:val="kk-KZ"/>
        </w:rPr>
        <w:t xml:space="preserve">В соответствии </w:t>
      </w:r>
      <w:r w:rsidRPr="00F70922">
        <w:rPr>
          <w:rFonts w:ascii="Times New Roman" w:hAnsi="Times New Roman" w:cs="Times New Roman"/>
          <w:sz w:val="28"/>
          <w:szCs w:val="28"/>
        </w:rPr>
        <w:t xml:space="preserve">"Правила размещения государственного образовательного заказа на дошкольное воспитание и обучение, среднее образование, Дополнительное образование детей и подготовку кадров с техническим и профессиональным, </w:t>
      </w:r>
      <w:proofErr w:type="spellStart"/>
      <w:r w:rsidRPr="00F70922">
        <w:rPr>
          <w:rFonts w:ascii="Times New Roman" w:hAnsi="Times New Roman" w:cs="Times New Roman"/>
          <w:sz w:val="28"/>
          <w:szCs w:val="28"/>
        </w:rPr>
        <w:t>послесредним</w:t>
      </w:r>
      <w:proofErr w:type="spellEnd"/>
      <w:r w:rsidRPr="00F70922">
        <w:rPr>
          <w:rFonts w:ascii="Times New Roman" w:hAnsi="Times New Roman" w:cs="Times New Roman"/>
          <w:sz w:val="28"/>
          <w:szCs w:val="28"/>
        </w:rPr>
        <w:t xml:space="preserve"> образованием с учетом потребностей рынка труда (далее – В соответствии с приказом Министра образования Республики Казахстан от 27 августа 2022 года № 381» Об утверждении Правил) ГУ «Отдел образования по городу </w:t>
      </w:r>
      <w:proofErr w:type="spellStart"/>
      <w:r w:rsidRPr="00F70922">
        <w:rPr>
          <w:rFonts w:ascii="Times New Roman" w:hAnsi="Times New Roman" w:cs="Times New Roman"/>
          <w:sz w:val="28"/>
          <w:szCs w:val="28"/>
        </w:rPr>
        <w:t>Косши</w:t>
      </w:r>
      <w:proofErr w:type="spellEnd"/>
      <w:r w:rsidRPr="00F70922">
        <w:rPr>
          <w:rFonts w:ascii="Times New Roman" w:hAnsi="Times New Roman" w:cs="Times New Roman"/>
          <w:sz w:val="28"/>
          <w:szCs w:val="28"/>
        </w:rPr>
        <w:t xml:space="preserve"> управления образования Акмолинской области " объявляет конкурс на размещение государственного образовательного заказа на дополнительное образование детей по следующим направлениям:</w:t>
      </w:r>
    </w:p>
    <w:p w14:paraId="133EF3B8"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b/>
          <w:bCs/>
          <w:sz w:val="28"/>
          <w:szCs w:val="28"/>
        </w:rPr>
        <w:t xml:space="preserve"> -художественно-эстетические</w:t>
      </w:r>
      <w:r w:rsidRPr="00F70922">
        <w:rPr>
          <w:rFonts w:ascii="Times New Roman" w:hAnsi="Times New Roman" w:cs="Times New Roman"/>
          <w:sz w:val="28"/>
          <w:szCs w:val="28"/>
        </w:rPr>
        <w:t xml:space="preserve"> (керамика, гончарное дело; лепка, лепка, керамическая скульптура; вышивка; вязание крючком; шитье, макраме; оригами, поделки из бумаги (цветы, птицы, животные); ковровое ткачество; ювелирное искусство; Художественная роспись по дереву; художественная роспись по металлу; художественная роспись по керамике; художественная роспись по коже художественная обработка; художественная обработка металла; пирография, обжиг дерева, кожа, ткань; художественное моделирование одежды; тамбурная вышивка; художественная обработка дерева; арт-терапия; дизайн одежды, гончарное искусство, моделирование) - 172 места;</w:t>
      </w:r>
    </w:p>
    <w:p w14:paraId="71189C14"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b/>
          <w:bCs/>
          <w:sz w:val="28"/>
          <w:szCs w:val="28"/>
        </w:rPr>
        <w:t xml:space="preserve"> - социально-педагогические</w:t>
      </w:r>
      <w:r w:rsidRPr="00F70922">
        <w:rPr>
          <w:rFonts w:ascii="Times New Roman" w:hAnsi="Times New Roman" w:cs="Times New Roman"/>
          <w:sz w:val="28"/>
          <w:szCs w:val="28"/>
        </w:rPr>
        <w:t xml:space="preserve"> (журналистика, медиацентры; дискуссионное движение; волонтерское движение; Основы предпринимательства; ораторское искусство; клуб интеллектуальных игр) - 90 мест;</w:t>
      </w:r>
    </w:p>
    <w:p w14:paraId="58289AFC"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b/>
          <w:bCs/>
          <w:sz w:val="28"/>
          <w:szCs w:val="28"/>
        </w:rPr>
        <w:t xml:space="preserve"> - гуманитарное направление</w:t>
      </w:r>
      <w:r w:rsidRPr="00F70922">
        <w:rPr>
          <w:rFonts w:ascii="Times New Roman" w:hAnsi="Times New Roman" w:cs="Times New Roman"/>
          <w:sz w:val="28"/>
          <w:szCs w:val="28"/>
        </w:rPr>
        <w:t xml:space="preserve"> (языковые курсы) - 145 мест; </w:t>
      </w:r>
    </w:p>
    <w:p w14:paraId="28CE88CB"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b/>
          <w:bCs/>
          <w:sz w:val="28"/>
          <w:szCs w:val="28"/>
        </w:rPr>
        <w:t>- естественно-математическое направление</w:t>
      </w:r>
      <w:r w:rsidRPr="00F70922">
        <w:rPr>
          <w:rFonts w:ascii="Times New Roman" w:hAnsi="Times New Roman" w:cs="Times New Roman"/>
          <w:sz w:val="28"/>
          <w:szCs w:val="28"/>
        </w:rPr>
        <w:t xml:space="preserve"> (математические курсы) -145 мест. </w:t>
      </w:r>
    </w:p>
    <w:p w14:paraId="1662A605"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b/>
          <w:bCs/>
          <w:sz w:val="28"/>
          <w:szCs w:val="28"/>
        </w:rPr>
        <w:t>- туристско-краеведческое направление</w:t>
      </w:r>
      <w:r w:rsidRPr="00F70922">
        <w:rPr>
          <w:rFonts w:ascii="Times New Roman" w:hAnsi="Times New Roman" w:cs="Times New Roman"/>
          <w:sz w:val="28"/>
          <w:szCs w:val="28"/>
        </w:rPr>
        <w:t xml:space="preserve"> (горный туризм; водный туризм; поход; скалолазание; ориентирование; пещерный туризм; велосипедный туризм; лыжный туризм; оздоровительный туризм; экологический туризм; краеведение; туристские лагеря; этнографический, сельский туризм; научный туризм; экскурсоводы, географическое краеведение, историческое краеведение, экологическое краеведение, музееведение, конный туризм, молодой горный спасатель, дорожный искатель-спасатель, археология) - 36 мест; </w:t>
      </w:r>
    </w:p>
    <w:p w14:paraId="6187D239"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b/>
          <w:bCs/>
          <w:sz w:val="28"/>
          <w:szCs w:val="28"/>
        </w:rPr>
        <w:lastRenderedPageBreak/>
        <w:t>- научно-технические</w:t>
      </w:r>
      <w:r w:rsidRPr="00F70922">
        <w:rPr>
          <w:rFonts w:ascii="Times New Roman" w:hAnsi="Times New Roman" w:cs="Times New Roman"/>
          <w:sz w:val="28"/>
          <w:szCs w:val="28"/>
        </w:rPr>
        <w:t xml:space="preserve"> (Начальное техническое моделирование; авиамоделирование; автомоделирование; </w:t>
      </w:r>
      <w:proofErr w:type="spellStart"/>
      <w:r w:rsidRPr="00F70922">
        <w:rPr>
          <w:rFonts w:ascii="Times New Roman" w:hAnsi="Times New Roman" w:cs="Times New Roman"/>
          <w:sz w:val="28"/>
          <w:szCs w:val="28"/>
        </w:rPr>
        <w:t>судомоделирование</w:t>
      </w:r>
      <w:proofErr w:type="spellEnd"/>
      <w:r w:rsidRPr="00F70922">
        <w:rPr>
          <w:rFonts w:ascii="Times New Roman" w:hAnsi="Times New Roman" w:cs="Times New Roman"/>
          <w:sz w:val="28"/>
          <w:szCs w:val="28"/>
        </w:rPr>
        <w:t xml:space="preserve">; </w:t>
      </w:r>
      <w:proofErr w:type="spellStart"/>
      <w:r w:rsidRPr="00F70922">
        <w:rPr>
          <w:rFonts w:ascii="Times New Roman" w:hAnsi="Times New Roman" w:cs="Times New Roman"/>
          <w:sz w:val="28"/>
          <w:szCs w:val="28"/>
        </w:rPr>
        <w:t>ракетомоделирование</w:t>
      </w:r>
      <w:proofErr w:type="spellEnd"/>
      <w:r w:rsidRPr="00F70922">
        <w:rPr>
          <w:rFonts w:ascii="Times New Roman" w:hAnsi="Times New Roman" w:cs="Times New Roman"/>
          <w:sz w:val="28"/>
          <w:szCs w:val="28"/>
        </w:rPr>
        <w:t xml:space="preserve">; робототехника; космонавтика; 3Д-моделирование; компьютерная графика; машиностроение; космическая радиосвязь; радиотехника; мотоциклетный спорт; картинг; моделирование; стрелковый спорт; основы инженерного проектирования; основы инженерного проектирования робототехнических и мехатронных систем; основы изобретательского и рационализаторская; радиоспорт; радиоэлектроника; конструирование; программирование; компьютерное проектирование; кинопроизводство; парусное дело; электротехника; химико-техническое Программирование; </w:t>
      </w:r>
      <w:proofErr w:type="spellStart"/>
      <w:r w:rsidRPr="00F70922">
        <w:rPr>
          <w:rFonts w:ascii="Times New Roman" w:hAnsi="Times New Roman" w:cs="Times New Roman"/>
          <w:sz w:val="28"/>
          <w:szCs w:val="28"/>
        </w:rPr>
        <w:t>лего</w:t>
      </w:r>
      <w:proofErr w:type="spellEnd"/>
      <w:r w:rsidRPr="00F70922">
        <w:rPr>
          <w:rFonts w:ascii="Times New Roman" w:hAnsi="Times New Roman" w:cs="Times New Roman"/>
          <w:sz w:val="28"/>
          <w:szCs w:val="28"/>
        </w:rPr>
        <w:t xml:space="preserve">-конструирование; спортивный </w:t>
      </w:r>
      <w:proofErr w:type="spellStart"/>
      <w:r w:rsidRPr="00F70922">
        <w:rPr>
          <w:rFonts w:ascii="Times New Roman" w:hAnsi="Times New Roman" w:cs="Times New Roman"/>
          <w:sz w:val="28"/>
          <w:szCs w:val="28"/>
        </w:rPr>
        <w:t>радиомоделизм</w:t>
      </w:r>
      <w:proofErr w:type="spellEnd"/>
      <w:r w:rsidRPr="00F70922">
        <w:rPr>
          <w:rFonts w:ascii="Times New Roman" w:hAnsi="Times New Roman" w:cs="Times New Roman"/>
          <w:sz w:val="28"/>
          <w:szCs w:val="28"/>
        </w:rPr>
        <w:t>; основы авто-дела; архитектурное моделирование; технология архитектурных сооружений; телестудия; техническое Программирование; моделирование военной техники; стендовый моделизм; моделирование маломерного водного транспорта; аэрокосмическое образование и моделирование; космическая наука; рендеринг-создание проекции физической модели; летно-парашютная подготовка; квадроциклы; снегоходы; плотник; автослесарь; багги; физика и робототехника; робототехника: конструирование и программирование; национальные ремесла; Юный спасатель; STEAM-лаборатория (СТЭМ-лаборатория); сборка для детей с особыми потребностями; беспилотные летательные аппараты киберспорт); - 271 место;</w:t>
      </w:r>
    </w:p>
    <w:p w14:paraId="3298CEB1"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sz w:val="28"/>
          <w:szCs w:val="28"/>
        </w:rPr>
        <w:t xml:space="preserve"> </w:t>
      </w:r>
      <w:r w:rsidRPr="00F70922">
        <w:rPr>
          <w:rFonts w:ascii="Times New Roman" w:hAnsi="Times New Roman" w:cs="Times New Roman"/>
          <w:b/>
          <w:bCs/>
          <w:sz w:val="28"/>
          <w:szCs w:val="28"/>
        </w:rPr>
        <w:t>- эколого-биологическое направление</w:t>
      </w:r>
      <w:r w:rsidRPr="00F70922">
        <w:rPr>
          <w:rFonts w:ascii="Times New Roman" w:hAnsi="Times New Roman" w:cs="Times New Roman"/>
          <w:sz w:val="28"/>
          <w:szCs w:val="28"/>
        </w:rPr>
        <w:t xml:space="preserve"> (экология; орнитология; рыбоводство; цветоводство; флористика; Зоология; видовой состав флоры, рационы, </w:t>
      </w:r>
      <w:proofErr w:type="spellStart"/>
      <w:r w:rsidRPr="00F70922">
        <w:rPr>
          <w:rFonts w:ascii="Times New Roman" w:hAnsi="Times New Roman" w:cs="Times New Roman"/>
          <w:sz w:val="28"/>
          <w:szCs w:val="28"/>
        </w:rPr>
        <w:t>анималисика</w:t>
      </w:r>
      <w:proofErr w:type="spellEnd"/>
      <w:r w:rsidRPr="00F70922">
        <w:rPr>
          <w:rFonts w:ascii="Times New Roman" w:hAnsi="Times New Roman" w:cs="Times New Roman"/>
          <w:sz w:val="28"/>
          <w:szCs w:val="28"/>
        </w:rPr>
        <w:t xml:space="preserve">; энтомология; растениеводство; садоводство; животноводство; </w:t>
      </w:r>
      <w:proofErr w:type="spellStart"/>
      <w:r w:rsidRPr="00F70922">
        <w:rPr>
          <w:rFonts w:ascii="Times New Roman" w:hAnsi="Times New Roman" w:cs="Times New Roman"/>
          <w:sz w:val="28"/>
          <w:szCs w:val="28"/>
        </w:rPr>
        <w:t>аквопоника</w:t>
      </w:r>
      <w:proofErr w:type="spellEnd"/>
      <w:r w:rsidRPr="00F70922">
        <w:rPr>
          <w:rFonts w:ascii="Times New Roman" w:hAnsi="Times New Roman" w:cs="Times New Roman"/>
          <w:sz w:val="28"/>
          <w:szCs w:val="28"/>
        </w:rPr>
        <w:t xml:space="preserve">; овощеводство; кролиководство; иппотерапия; ветеринария; геология; ландшафтоведение; эколог-исследователь; Промышленная экология; STEAM-лаборатория; (исследовательская биология, химия); гидропоника; </w:t>
      </w:r>
      <w:proofErr w:type="spellStart"/>
      <w:r w:rsidRPr="00F70922">
        <w:rPr>
          <w:rFonts w:ascii="Times New Roman" w:hAnsi="Times New Roman" w:cs="Times New Roman"/>
          <w:sz w:val="28"/>
          <w:szCs w:val="28"/>
        </w:rPr>
        <w:t>экожурналистика</w:t>
      </w:r>
      <w:proofErr w:type="spellEnd"/>
      <w:r w:rsidRPr="00F70922">
        <w:rPr>
          <w:rFonts w:ascii="Times New Roman" w:hAnsi="Times New Roman" w:cs="Times New Roman"/>
          <w:sz w:val="28"/>
          <w:szCs w:val="28"/>
        </w:rPr>
        <w:t>; фитопатология) - 27 место</w:t>
      </w:r>
    </w:p>
    <w:p w14:paraId="2B3E2B0D"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sz w:val="28"/>
          <w:szCs w:val="28"/>
        </w:rPr>
        <w:t xml:space="preserve"> Перечень документов на сайте </w:t>
      </w:r>
      <w:proofErr w:type="gramStart"/>
      <w:r w:rsidRPr="00F70922">
        <w:rPr>
          <w:rFonts w:ascii="Times New Roman" w:hAnsi="Times New Roman" w:cs="Times New Roman"/>
          <w:sz w:val="28"/>
          <w:szCs w:val="28"/>
          <w:lang w:val="kk-KZ"/>
        </w:rPr>
        <w:t xml:space="preserve">отдела </w:t>
      </w:r>
      <w:r w:rsidRPr="00F70922">
        <w:rPr>
          <w:rFonts w:ascii="Times New Roman" w:hAnsi="Times New Roman" w:cs="Times New Roman"/>
          <w:sz w:val="28"/>
          <w:szCs w:val="28"/>
        </w:rPr>
        <w:t xml:space="preserve"> образования</w:t>
      </w:r>
      <w:proofErr w:type="gramEnd"/>
      <w:r w:rsidRPr="00F70922">
        <w:rPr>
          <w:rFonts w:ascii="Times New Roman" w:hAnsi="Times New Roman" w:cs="Times New Roman"/>
          <w:sz w:val="28"/>
          <w:szCs w:val="28"/>
        </w:rPr>
        <w:t xml:space="preserve"> по городу </w:t>
      </w:r>
      <w:proofErr w:type="spellStart"/>
      <w:r w:rsidRPr="00F70922">
        <w:rPr>
          <w:rFonts w:ascii="Times New Roman" w:hAnsi="Times New Roman" w:cs="Times New Roman"/>
          <w:sz w:val="28"/>
          <w:szCs w:val="28"/>
        </w:rPr>
        <w:t>Косши</w:t>
      </w:r>
      <w:proofErr w:type="spellEnd"/>
      <w:r w:rsidRPr="00F70922">
        <w:rPr>
          <w:rFonts w:ascii="Times New Roman" w:hAnsi="Times New Roman" w:cs="Times New Roman"/>
          <w:sz w:val="28"/>
          <w:szCs w:val="28"/>
        </w:rPr>
        <w:t xml:space="preserve"> Акмолинской области. Документы пронумеровываются, прошнуровываются, подписываются руководителем организации, заверяются печатью (при наличии) либо подписью руководителя. Организация направляет на электронную почту документы, подписанные руководителем и заверенные печатью </w:t>
      </w:r>
      <w:hyperlink r:id="rId4" w:history="1">
        <w:r w:rsidRPr="00F70922">
          <w:rPr>
            <w:rStyle w:val="ac"/>
            <w:rFonts w:ascii="Times New Roman" w:hAnsi="Times New Roman" w:cs="Times New Roman"/>
            <w:sz w:val="28"/>
            <w:szCs w:val="28"/>
          </w:rPr>
          <w:t>kosshy.obrazovania@yandex.kz</w:t>
        </w:r>
      </w:hyperlink>
      <w:r w:rsidRPr="00F70922">
        <w:rPr>
          <w:rFonts w:ascii="Times New Roman" w:hAnsi="Times New Roman" w:cs="Times New Roman"/>
          <w:sz w:val="28"/>
          <w:szCs w:val="28"/>
          <w:lang w:val="kk-KZ"/>
        </w:rPr>
        <w:t xml:space="preserve"> </w:t>
      </w:r>
      <w:r w:rsidRPr="00F70922">
        <w:rPr>
          <w:rFonts w:ascii="Times New Roman" w:hAnsi="Times New Roman" w:cs="Times New Roman"/>
          <w:sz w:val="28"/>
          <w:szCs w:val="28"/>
        </w:rPr>
        <w:t xml:space="preserve">при отсутствии возможности представления документов в электронном формате указанные документы направляются организацией в </w:t>
      </w:r>
      <w:proofErr w:type="spellStart"/>
      <w:r w:rsidRPr="00F70922">
        <w:rPr>
          <w:rFonts w:ascii="Times New Roman" w:hAnsi="Times New Roman" w:cs="Times New Roman"/>
          <w:sz w:val="28"/>
          <w:szCs w:val="28"/>
        </w:rPr>
        <w:t>концелярию</w:t>
      </w:r>
      <w:proofErr w:type="spellEnd"/>
      <w:r w:rsidRPr="00F70922">
        <w:rPr>
          <w:rFonts w:ascii="Times New Roman" w:hAnsi="Times New Roman" w:cs="Times New Roman"/>
          <w:sz w:val="28"/>
          <w:szCs w:val="28"/>
        </w:rPr>
        <w:t xml:space="preserve"> в бумажном формате. Адрес: город </w:t>
      </w:r>
      <w:proofErr w:type="spellStart"/>
      <w:r w:rsidRPr="00F70922">
        <w:rPr>
          <w:rFonts w:ascii="Times New Roman" w:hAnsi="Times New Roman" w:cs="Times New Roman"/>
          <w:sz w:val="28"/>
          <w:szCs w:val="28"/>
        </w:rPr>
        <w:t>Косшы</w:t>
      </w:r>
      <w:proofErr w:type="spellEnd"/>
      <w:r w:rsidRPr="00F70922">
        <w:rPr>
          <w:rFonts w:ascii="Times New Roman" w:hAnsi="Times New Roman" w:cs="Times New Roman"/>
          <w:sz w:val="28"/>
          <w:szCs w:val="28"/>
        </w:rPr>
        <w:t>, улица Республики, здание 46, контактный телефон: 871726077</w:t>
      </w:r>
      <w:r w:rsidRPr="00F70922">
        <w:rPr>
          <w:rFonts w:ascii="Times New Roman" w:hAnsi="Times New Roman" w:cs="Times New Roman"/>
          <w:sz w:val="28"/>
          <w:szCs w:val="28"/>
          <w:lang w:val="kk-KZ"/>
        </w:rPr>
        <w:t>7</w:t>
      </w:r>
      <w:r w:rsidRPr="00F70922">
        <w:rPr>
          <w:rFonts w:ascii="Times New Roman" w:hAnsi="Times New Roman" w:cs="Times New Roman"/>
          <w:sz w:val="28"/>
          <w:szCs w:val="28"/>
        </w:rPr>
        <w:t xml:space="preserve">6 </w:t>
      </w:r>
    </w:p>
    <w:p w14:paraId="0B0667E5"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sz w:val="28"/>
          <w:szCs w:val="28"/>
        </w:rPr>
        <w:t xml:space="preserve">Организации, претендующие на размещение государственного образовательного заказа на дополнительное образование детей, представляют в отдел образования (по территориальности) следующие документы: 1) </w:t>
      </w:r>
      <w:r w:rsidRPr="00F70922">
        <w:rPr>
          <w:rFonts w:ascii="Times New Roman" w:hAnsi="Times New Roman" w:cs="Times New Roman"/>
          <w:sz w:val="28"/>
          <w:szCs w:val="28"/>
        </w:rPr>
        <w:lastRenderedPageBreak/>
        <w:t xml:space="preserve">заявление; 2) Устав Организации (правил, учредительного договора), за исключением индивидуальных предпринимателей, реализующих образовательные программы дополнительного образования, не образующих юридическое лицо; 3) правоустанавливающие документы или договор аренды на недвижимое имущество, используемое организацией; 4) программы дополнительного образования для детей в соответствии с законодательством Республики Казахстан в области образования; 5) педагоги, имеющие педагогическое или профессиональное образование; 6) не менее 10 процентов от общей численности педагогического состава от общего числа педагогов высшей и первой категорий, имеющих квалификационные категории педагог-эксперт, педагог-исследователь, педагог-мастер; 7) опыт работы организации в области дополнительного образования (уставом, учредительными документами, договорами); 8) регистрация в информационной системе НБДС с указанием реализуемых образовательных программ по дополнительному образованию детей; 9) уведомления о начале и прекращении деятельности (эксплуатации) объекта, имеющего эпидемиологическое значение в соответствии с законом» О разрешениях и уведомлениях"; 10) государственная регистрация (перерегистрация) юридического лица или индивидуального предпринимателя, зарегистрированные права (обременения) на недвижимое имущество и его технические характеристики; 11) продолжительность дневного пребывания в организациях дополнительного образования в соответствии с приказом министра здравоохранения Республики Казахстан от 30 декабря 2020 года № ҚР ДСМ-336/2020 «о некоторых вопросах оказания государственных услуг в области санитарно-эпидемиологического благополучия населения» (зарегистрирован в Реестре государственной регистрации нормативных правовых актов за № 22004) составляет четыре часа и более организация питания детей при большом количестве; 12) сведения об отсутствии (наличии) задолженности, по которой ведется учет в органах государственных доходов, не менее чем за месяц до сдачи документов на размещение государственного образовательного заказа на дополнительное образование детей; 13) системы противопожарной безопасности; 14) требования антитеррористической защиты в соответствии с инструкцией. Согласно инструкции объекты образования, расположенные в городах областного значения (независимо от комплектности), в обязательном порядке оснащаются: сноска. Пункт 66 в редакции приказа Министра просвещения РК от 05.12.2022 № 485 (вводится в действие после дня его первого официального опубликования); с изменениями, внесенными приказом Министра просвещения РК от 04.04.2024 № 73 (вводится в действие по истечении десяти календарных дней после дня его первого официального опубликования). </w:t>
      </w:r>
    </w:p>
    <w:p w14:paraId="0FCC6B53"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sz w:val="28"/>
          <w:szCs w:val="28"/>
        </w:rPr>
        <w:t xml:space="preserve">1) системой оповещения, соответствующей правилам организации системы гражданской защиты и оповещения населения, государственных органов при </w:t>
      </w:r>
      <w:r w:rsidRPr="00F70922">
        <w:rPr>
          <w:rFonts w:ascii="Times New Roman" w:hAnsi="Times New Roman" w:cs="Times New Roman"/>
          <w:sz w:val="28"/>
          <w:szCs w:val="28"/>
        </w:rPr>
        <w:lastRenderedPageBreak/>
        <w:t>чрезвычайных ситуациях мирного и военного времени, утвержденным приказом Министра внутренних дел Республики Казахстан от 26 декабря 2014 года № 945;</w:t>
      </w:r>
    </w:p>
    <w:p w14:paraId="303E0C4C" w14:textId="77777777" w:rsidR="005A7A43" w:rsidRPr="00F70922" w:rsidRDefault="005A7A43" w:rsidP="005A7A43">
      <w:pPr>
        <w:jc w:val="both"/>
        <w:rPr>
          <w:rFonts w:ascii="Times New Roman" w:hAnsi="Times New Roman" w:cs="Times New Roman"/>
          <w:sz w:val="28"/>
          <w:szCs w:val="28"/>
          <w:lang w:val="kk-KZ"/>
        </w:rPr>
      </w:pPr>
      <w:r w:rsidRPr="00F70922">
        <w:rPr>
          <w:rFonts w:ascii="Times New Roman" w:hAnsi="Times New Roman" w:cs="Times New Roman"/>
          <w:sz w:val="28"/>
          <w:szCs w:val="28"/>
        </w:rPr>
        <w:t xml:space="preserve"> 2) система видеонаблюдения3) мобильным и/или стационарным средством сигнализации с выводом в дежурные части территориальных органов внутренних дел либо субъектов охранной деятельности на пульт централизованного контроля (кнопка сигнализации). Незамедлительно информирует органы внутренних дел при поступлении тревожного сигнала на пульт централизованного контроля субъектов охранной деятельности; </w:t>
      </w:r>
    </w:p>
    <w:p w14:paraId="576A7B7A" w14:textId="77777777" w:rsidR="005A7A43" w:rsidRPr="00F70922" w:rsidRDefault="005A7A43" w:rsidP="005A7A43">
      <w:pPr>
        <w:jc w:val="both"/>
        <w:rPr>
          <w:rFonts w:ascii="Times New Roman" w:hAnsi="Times New Roman" w:cs="Times New Roman"/>
          <w:sz w:val="28"/>
          <w:szCs w:val="28"/>
          <w:lang w:val="ru-KZ"/>
        </w:rPr>
      </w:pPr>
      <w:r w:rsidRPr="00F70922">
        <w:rPr>
          <w:rFonts w:ascii="Times New Roman" w:hAnsi="Times New Roman" w:cs="Times New Roman"/>
          <w:sz w:val="28"/>
          <w:szCs w:val="28"/>
        </w:rPr>
        <w:t>Прием документов производится с 19 по 25 декабря 2025 года включительно. Стоимость оплаты в расчете на одного ребенка по городу 12235 тенге. Комиссия в течение 15 (пятнадцати) рабочих дней со дня окончания регистрации документов рассматривает документы, представленные организациями (прошитые, пронумерованные, заверенные подписью руководителя организации).</w:t>
      </w:r>
    </w:p>
    <w:p w14:paraId="450271CA" w14:textId="77777777" w:rsidR="008565E4" w:rsidRPr="005A7A43" w:rsidRDefault="008565E4">
      <w:pPr>
        <w:rPr>
          <w:lang w:val="ru-KZ"/>
        </w:rPr>
      </w:pPr>
    </w:p>
    <w:sectPr w:rsidR="008565E4" w:rsidRPr="005A7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7B"/>
    <w:rsid w:val="00087017"/>
    <w:rsid w:val="003C2F7B"/>
    <w:rsid w:val="005A7A43"/>
    <w:rsid w:val="008565E4"/>
    <w:rsid w:val="008A68AE"/>
    <w:rsid w:val="00D7237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2763"/>
  <w15:chartTrackingRefBased/>
  <w15:docId w15:val="{B28A3AB3-6604-4DEC-83ED-99283248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A43"/>
    <w:rPr>
      <w:lang w:val="ru-RU"/>
    </w:rPr>
  </w:style>
  <w:style w:type="paragraph" w:styleId="1">
    <w:name w:val="heading 1"/>
    <w:basedOn w:val="a"/>
    <w:next w:val="a"/>
    <w:link w:val="10"/>
    <w:uiPriority w:val="9"/>
    <w:qFormat/>
    <w:rsid w:val="003C2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2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2F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2F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2F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2F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2F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2F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2F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F7B"/>
    <w:rPr>
      <w:rFonts w:asciiTheme="majorHAnsi" w:eastAsiaTheme="majorEastAsia" w:hAnsiTheme="majorHAnsi" w:cstheme="majorBidi"/>
      <w:color w:val="0F4761" w:themeColor="accent1" w:themeShade="BF"/>
      <w:sz w:val="40"/>
      <w:szCs w:val="40"/>
      <w:lang w:val="ru-RU"/>
    </w:rPr>
  </w:style>
  <w:style w:type="character" w:customStyle="1" w:styleId="20">
    <w:name w:val="Заголовок 2 Знак"/>
    <w:basedOn w:val="a0"/>
    <w:link w:val="2"/>
    <w:uiPriority w:val="9"/>
    <w:semiHidden/>
    <w:rsid w:val="003C2F7B"/>
    <w:rPr>
      <w:rFonts w:asciiTheme="majorHAnsi" w:eastAsiaTheme="majorEastAsia" w:hAnsiTheme="majorHAnsi" w:cstheme="majorBidi"/>
      <w:color w:val="0F4761" w:themeColor="accent1" w:themeShade="BF"/>
      <w:sz w:val="32"/>
      <w:szCs w:val="32"/>
      <w:lang w:val="ru-RU"/>
    </w:rPr>
  </w:style>
  <w:style w:type="character" w:customStyle="1" w:styleId="30">
    <w:name w:val="Заголовок 3 Знак"/>
    <w:basedOn w:val="a0"/>
    <w:link w:val="3"/>
    <w:uiPriority w:val="9"/>
    <w:semiHidden/>
    <w:rsid w:val="003C2F7B"/>
    <w:rPr>
      <w:rFonts w:eastAsiaTheme="majorEastAsia" w:cstheme="majorBidi"/>
      <w:color w:val="0F4761" w:themeColor="accent1" w:themeShade="BF"/>
      <w:sz w:val="28"/>
      <w:szCs w:val="28"/>
      <w:lang w:val="ru-RU"/>
    </w:rPr>
  </w:style>
  <w:style w:type="character" w:customStyle="1" w:styleId="40">
    <w:name w:val="Заголовок 4 Знак"/>
    <w:basedOn w:val="a0"/>
    <w:link w:val="4"/>
    <w:uiPriority w:val="9"/>
    <w:semiHidden/>
    <w:rsid w:val="003C2F7B"/>
    <w:rPr>
      <w:rFonts w:eastAsiaTheme="majorEastAsia" w:cstheme="majorBidi"/>
      <w:i/>
      <w:iCs/>
      <w:color w:val="0F4761" w:themeColor="accent1" w:themeShade="BF"/>
      <w:lang w:val="ru-RU"/>
    </w:rPr>
  </w:style>
  <w:style w:type="character" w:customStyle="1" w:styleId="50">
    <w:name w:val="Заголовок 5 Знак"/>
    <w:basedOn w:val="a0"/>
    <w:link w:val="5"/>
    <w:uiPriority w:val="9"/>
    <w:semiHidden/>
    <w:rsid w:val="003C2F7B"/>
    <w:rPr>
      <w:rFonts w:eastAsiaTheme="majorEastAsia" w:cstheme="majorBidi"/>
      <w:color w:val="0F4761" w:themeColor="accent1" w:themeShade="BF"/>
      <w:lang w:val="ru-RU"/>
    </w:rPr>
  </w:style>
  <w:style w:type="character" w:customStyle="1" w:styleId="60">
    <w:name w:val="Заголовок 6 Знак"/>
    <w:basedOn w:val="a0"/>
    <w:link w:val="6"/>
    <w:uiPriority w:val="9"/>
    <w:semiHidden/>
    <w:rsid w:val="003C2F7B"/>
    <w:rPr>
      <w:rFonts w:eastAsiaTheme="majorEastAsia" w:cstheme="majorBidi"/>
      <w:i/>
      <w:iCs/>
      <w:color w:val="595959" w:themeColor="text1" w:themeTint="A6"/>
      <w:lang w:val="ru-RU"/>
    </w:rPr>
  </w:style>
  <w:style w:type="character" w:customStyle="1" w:styleId="70">
    <w:name w:val="Заголовок 7 Знак"/>
    <w:basedOn w:val="a0"/>
    <w:link w:val="7"/>
    <w:uiPriority w:val="9"/>
    <w:semiHidden/>
    <w:rsid w:val="003C2F7B"/>
    <w:rPr>
      <w:rFonts w:eastAsiaTheme="majorEastAsia" w:cstheme="majorBidi"/>
      <w:color w:val="595959" w:themeColor="text1" w:themeTint="A6"/>
      <w:lang w:val="ru-RU"/>
    </w:rPr>
  </w:style>
  <w:style w:type="character" w:customStyle="1" w:styleId="80">
    <w:name w:val="Заголовок 8 Знак"/>
    <w:basedOn w:val="a0"/>
    <w:link w:val="8"/>
    <w:uiPriority w:val="9"/>
    <w:semiHidden/>
    <w:rsid w:val="003C2F7B"/>
    <w:rPr>
      <w:rFonts w:eastAsiaTheme="majorEastAsia" w:cstheme="majorBidi"/>
      <w:i/>
      <w:iCs/>
      <w:color w:val="272727" w:themeColor="text1" w:themeTint="D8"/>
      <w:lang w:val="ru-RU"/>
    </w:rPr>
  </w:style>
  <w:style w:type="character" w:customStyle="1" w:styleId="90">
    <w:name w:val="Заголовок 9 Знак"/>
    <w:basedOn w:val="a0"/>
    <w:link w:val="9"/>
    <w:uiPriority w:val="9"/>
    <w:semiHidden/>
    <w:rsid w:val="003C2F7B"/>
    <w:rPr>
      <w:rFonts w:eastAsiaTheme="majorEastAsia" w:cstheme="majorBidi"/>
      <w:color w:val="272727" w:themeColor="text1" w:themeTint="D8"/>
      <w:lang w:val="ru-RU"/>
    </w:rPr>
  </w:style>
  <w:style w:type="paragraph" w:styleId="a3">
    <w:name w:val="Title"/>
    <w:basedOn w:val="a"/>
    <w:next w:val="a"/>
    <w:link w:val="a4"/>
    <w:uiPriority w:val="10"/>
    <w:qFormat/>
    <w:rsid w:val="003C2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2F7B"/>
    <w:rPr>
      <w:rFonts w:asciiTheme="majorHAnsi" w:eastAsiaTheme="majorEastAsia" w:hAnsiTheme="majorHAnsi" w:cstheme="majorBidi"/>
      <w:spacing w:val="-10"/>
      <w:kern w:val="28"/>
      <w:sz w:val="56"/>
      <w:szCs w:val="56"/>
      <w:lang w:val="ru-RU"/>
    </w:rPr>
  </w:style>
  <w:style w:type="paragraph" w:styleId="a5">
    <w:name w:val="Subtitle"/>
    <w:basedOn w:val="a"/>
    <w:next w:val="a"/>
    <w:link w:val="a6"/>
    <w:uiPriority w:val="11"/>
    <w:qFormat/>
    <w:rsid w:val="003C2F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2F7B"/>
    <w:rPr>
      <w:rFonts w:eastAsiaTheme="majorEastAsia" w:cstheme="majorBidi"/>
      <w:color w:val="595959" w:themeColor="text1" w:themeTint="A6"/>
      <w:spacing w:val="15"/>
      <w:sz w:val="28"/>
      <w:szCs w:val="28"/>
      <w:lang w:val="ru-RU"/>
    </w:rPr>
  </w:style>
  <w:style w:type="paragraph" w:styleId="21">
    <w:name w:val="Quote"/>
    <w:basedOn w:val="a"/>
    <w:next w:val="a"/>
    <w:link w:val="22"/>
    <w:uiPriority w:val="29"/>
    <w:qFormat/>
    <w:rsid w:val="003C2F7B"/>
    <w:pPr>
      <w:spacing w:before="160"/>
      <w:jc w:val="center"/>
    </w:pPr>
    <w:rPr>
      <w:i/>
      <w:iCs/>
      <w:color w:val="404040" w:themeColor="text1" w:themeTint="BF"/>
    </w:rPr>
  </w:style>
  <w:style w:type="character" w:customStyle="1" w:styleId="22">
    <w:name w:val="Цитата 2 Знак"/>
    <w:basedOn w:val="a0"/>
    <w:link w:val="21"/>
    <w:uiPriority w:val="29"/>
    <w:rsid w:val="003C2F7B"/>
    <w:rPr>
      <w:i/>
      <w:iCs/>
      <w:color w:val="404040" w:themeColor="text1" w:themeTint="BF"/>
      <w:lang w:val="ru-RU"/>
    </w:rPr>
  </w:style>
  <w:style w:type="paragraph" w:styleId="a7">
    <w:name w:val="List Paragraph"/>
    <w:basedOn w:val="a"/>
    <w:uiPriority w:val="34"/>
    <w:qFormat/>
    <w:rsid w:val="003C2F7B"/>
    <w:pPr>
      <w:ind w:left="720"/>
      <w:contextualSpacing/>
    </w:pPr>
  </w:style>
  <w:style w:type="character" w:styleId="a8">
    <w:name w:val="Intense Emphasis"/>
    <w:basedOn w:val="a0"/>
    <w:uiPriority w:val="21"/>
    <w:qFormat/>
    <w:rsid w:val="003C2F7B"/>
    <w:rPr>
      <w:i/>
      <w:iCs/>
      <w:color w:val="0F4761" w:themeColor="accent1" w:themeShade="BF"/>
    </w:rPr>
  </w:style>
  <w:style w:type="paragraph" w:styleId="a9">
    <w:name w:val="Intense Quote"/>
    <w:basedOn w:val="a"/>
    <w:next w:val="a"/>
    <w:link w:val="aa"/>
    <w:uiPriority w:val="30"/>
    <w:qFormat/>
    <w:rsid w:val="003C2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C2F7B"/>
    <w:rPr>
      <w:i/>
      <w:iCs/>
      <w:color w:val="0F4761" w:themeColor="accent1" w:themeShade="BF"/>
      <w:lang w:val="ru-RU"/>
    </w:rPr>
  </w:style>
  <w:style w:type="character" w:styleId="ab">
    <w:name w:val="Intense Reference"/>
    <w:basedOn w:val="a0"/>
    <w:uiPriority w:val="32"/>
    <w:qFormat/>
    <w:rsid w:val="003C2F7B"/>
    <w:rPr>
      <w:b/>
      <w:bCs/>
      <w:smallCaps/>
      <w:color w:val="0F4761" w:themeColor="accent1" w:themeShade="BF"/>
      <w:spacing w:val="5"/>
    </w:rPr>
  </w:style>
  <w:style w:type="character" w:styleId="ac">
    <w:name w:val="Hyperlink"/>
    <w:basedOn w:val="a0"/>
    <w:uiPriority w:val="99"/>
    <w:unhideWhenUsed/>
    <w:rsid w:val="005A7A43"/>
    <w:rPr>
      <w:color w:val="467886" w:themeColor="hyperlink"/>
      <w:u w:val="single"/>
    </w:rPr>
  </w:style>
  <w:style w:type="character" w:styleId="ad">
    <w:name w:val="Unresolved Mention"/>
    <w:basedOn w:val="a0"/>
    <w:uiPriority w:val="99"/>
    <w:semiHidden/>
    <w:unhideWhenUsed/>
    <w:rsid w:val="005A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sshy.obrazovania@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Образования Отдел</dc:creator>
  <cp:keywords/>
  <dc:description/>
  <cp:lastModifiedBy>Образования Отдел</cp:lastModifiedBy>
  <cp:revision>2</cp:revision>
  <dcterms:created xsi:type="dcterms:W3CDTF">2025-12-19T05:41:00Z</dcterms:created>
  <dcterms:modified xsi:type="dcterms:W3CDTF">2025-12-19T05:42:00Z</dcterms:modified>
</cp:coreProperties>
</file>