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A91F" w14:textId="5E8A1AD7" w:rsidR="00A86DF8" w:rsidRPr="00F70922" w:rsidRDefault="00A86DF8" w:rsidP="00A86DF8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F709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Қосшы қаласы бойынша білім бөлімі </w:t>
      </w:r>
      <w:r w:rsidR="00057761" w:rsidRPr="00F709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886</w:t>
      </w:r>
      <w:r w:rsidRPr="00F709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 орынға арналған </w:t>
      </w:r>
      <w:r w:rsidR="00057761" w:rsidRPr="00F709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7</w:t>
      </w:r>
      <w:r w:rsidRPr="00F709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 бағыт бойынша балаларға қосымша білім беруге мемлекеттік білім беру тапсырысын орналастыру туралы конкурс жариялайды.</w:t>
      </w:r>
    </w:p>
    <w:p w14:paraId="71A41DCE" w14:textId="1B492509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>«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нарығының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қажеттіліктерін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мектепке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дейінгі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тәрбиелеу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оқытуға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орта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беруге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балаларға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беруге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орта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білімнен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кадрларды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даярлауға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тапсырысын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орналастыру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қағидаларын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бұдан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әрі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Қағидалар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бекіту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Оқу-ағарту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2022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27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тамыздағы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№ 381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бұйрығына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, «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Ақмола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облысы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басқармасының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</w:t>
      </w:r>
      <w:r w:rsidR="00E4263E" w:rsidRPr="00F70922">
        <w:rPr>
          <w:rFonts w:ascii="Times New Roman" w:hAnsi="Times New Roman" w:cs="Times New Roman"/>
          <w:sz w:val="28"/>
          <w:szCs w:val="28"/>
          <w:lang w:val="ru-KZ"/>
        </w:rPr>
        <w:t>осшы</w:t>
      </w:r>
      <w:proofErr w:type="spellEnd"/>
      <w:r w:rsidR="00E4263E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қаласы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бөлімі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» ММ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келесі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бағыттар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балаларға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беруге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тапсырысын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орналастыруға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 конкурс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жариялайды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40185335" w14:textId="139B5B49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- </w:t>
      </w:r>
      <w:proofErr w:type="spellStart"/>
      <w:r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көркемдік-эстетикалық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(керамика,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қыш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бұйымдары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мүсіндеу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мүсін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керамикалық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мүсін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кесте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тігу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ілмекпен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тоқу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тігу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макраме; оригами,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қағаздан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қолөнері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гүлдер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құстар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жануарлар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кілем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тоқу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зергерлік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өнер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ағаштан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көркем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кескіндеме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металға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көркемдік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кескіндеме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керамикаға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көркем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кескіндеме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былғарыны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көркем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өңдеу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металды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көркемдік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өңдеу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пирография,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ағаш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күйдіру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былғары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мата;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киімді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көркемдік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үлгілеу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тамбурлы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кестелеу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ағашты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көркемдік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өңдеу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арт-терапия;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дизайны,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қыш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өнері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– </w:t>
      </w:r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172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  </w:t>
      </w:r>
    </w:p>
    <w:p w14:paraId="003CFD56" w14:textId="74AACCC2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-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әлеуметтік-педагогикалық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(журналистика, медиа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орталықтар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пікірсайыс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қозғалысы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еріктілер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қозғалысы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кәсіпкерлік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шешендік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өнер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интеллектуалды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ойындар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клубы) – </w:t>
      </w:r>
      <w:proofErr w:type="gramStart"/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90 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proofErr w:type="gram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ECF80FE" w14:textId="5FD9E045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-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гуманитарлық</w:t>
      </w:r>
      <w:proofErr w:type="spellEnd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бағыт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тіл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курстары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– </w:t>
      </w:r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>145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9946552" w14:textId="7789CF50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-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жаратылыстану-математикалық</w:t>
      </w:r>
      <w:proofErr w:type="spellEnd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бағыт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математикалық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курстар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) -</w:t>
      </w:r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>145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CFFC2E0" w14:textId="5CE74F95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- туризм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өлкетану</w:t>
      </w:r>
      <w:proofErr w:type="spellEnd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бағыты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(тау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туризмі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су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туризмі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жорық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жартасқа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өрмелеу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үңгір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туризмі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велоспорт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туризмі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шаңғы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туризмі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сауықтыру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туризмі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экологиялық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туризм;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өлкетану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туристік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лагерьлер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этнографиялық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ауылдық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туризм;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туризм; тур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гидтер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географиялық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өлкетану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тарихи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өлкетану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экологиялық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өлкетану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мұражайтану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туризмі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тау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құтқарушы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жол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іздеуші-құтқарушы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археология) – </w:t>
      </w:r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>36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 </w:t>
      </w:r>
    </w:p>
    <w:p w14:paraId="4AE3B4CF" w14:textId="0639D4CA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- 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ғылыми-техникалық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бастапқы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авиамодельдеу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автомодельдеу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судомодельдеу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ракетомодельдеу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робототехника; космонавтика; 3Д-модельдеу;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графика; машина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ғарыштық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радиобайланыс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радиотехника; мотоцикл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спорты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картинг;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ату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спорты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инженерлік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жобалау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робототехникалық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мехатрондық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жүйелердің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инженерлік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жобалау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өнертапқыштық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lastRenderedPageBreak/>
        <w:t>рационализаторлық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радиоспорт; радиоэлектроника;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құрастыру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бағдарламалау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компьютерлік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дизайн;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кинобейне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желкенді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электротехника;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химиялық-техникалық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бағдарламалау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лего-құрастыру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спорттық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радиомоделизм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авто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сәулеттік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сәулет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құрылыстарының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технологиясы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телестудия;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бағдарламалау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техниканы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стендтік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моделизм;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шағын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көлемді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су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көлігін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аэроғарыштық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ғарыштық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рендеринг –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модель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проекциясын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ұшу-парашюттік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дайындық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квадроциклдер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қарда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жүргіштер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ағаш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ұстасы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автослесарь; багги; физика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робототехника; робототехника: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құрастыру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бағдарламалау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қолөнер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құтқарушы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 STEAM-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зертхана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(СТЭМ-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зертхана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қажеттілігі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балаларға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құрастыру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киберспорт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ұшқышсыз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ұшу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аппараттары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); – </w:t>
      </w:r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>271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C9C5433" w14:textId="61FF0DE1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bookmarkStart w:id="0" w:name="_Hlk216445527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-</w:t>
      </w:r>
      <w:proofErr w:type="spellStart"/>
      <w:r w:rsidRPr="003C47D7">
        <w:rPr>
          <w:rFonts w:ascii="Times New Roman" w:hAnsi="Times New Roman" w:cs="Times New Roman"/>
          <w:b/>
          <w:bCs/>
          <w:sz w:val="28"/>
          <w:szCs w:val="28"/>
          <w:lang w:val="ru-KZ"/>
        </w:rPr>
        <w:t>экологиялық-биологиялық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бағыт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(экология; орнитология;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шаруашылығы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гүл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өсіру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флористика; Зоология; флора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түр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құрамы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рациондар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анималисика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энтомология;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өсімдік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шаруашылығы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бау-бақша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мал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шаруашылығы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аквопоника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көкөніс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шаруашылығы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қоян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шаруашылығы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иппотерапия; ветеринария; геология;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Ландшафттану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 эколог-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Өнеркәсіптік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экология; STEAM-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зертхана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gramStart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(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proofErr w:type="gram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биологиясы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химия ); гидропоника;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экожурналистика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фитопатология) </w:t>
      </w:r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>–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8E324C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27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орын</w:t>
      </w:r>
      <w:bookmarkEnd w:id="0"/>
      <w:proofErr w:type="spellEnd"/>
    </w:p>
    <w:p w14:paraId="761C7CA1" w14:textId="5B8F7337" w:rsidR="00E4263E" w:rsidRPr="00F70922" w:rsidRDefault="00E4263E" w:rsidP="00E4263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Құжаттырдың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тізбесі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Ақмола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облысы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Қосшы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қаласы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proofErr w:type="gramStart"/>
      <w:r w:rsidR="001A1C40" w:rsidRPr="00F70922">
        <w:rPr>
          <w:rFonts w:ascii="Times New Roman" w:hAnsi="Times New Roman" w:cs="Times New Roman"/>
          <w:sz w:val="28"/>
          <w:szCs w:val="28"/>
          <w:lang w:val="ru-KZ"/>
        </w:rPr>
        <w:t>болімінің</w:t>
      </w:r>
      <w:proofErr w:type="spellEnd"/>
      <w:r w:rsidR="001A1C40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сайтында</w:t>
      </w:r>
      <w:proofErr w:type="spellEnd"/>
      <w:proofErr w:type="gram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нөмірленеді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тігіледі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басшысы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қол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қояды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мөрмен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(бар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не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басшының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қолымен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расталады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басшының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қойылған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мөрмен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расталған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электрондық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поштаға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жібереді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hyperlink r:id="rId4" w:history="1">
        <w:r w:rsidR="001A1C40" w:rsidRPr="00F70922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kosshy.obrazovania@yandex.kz</w:t>
        </w:r>
      </w:hyperlink>
      <w:r w:rsidR="001A1C40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егер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Электрондық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форматта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ұсыну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мүмкіндігі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болмаған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көрсетілген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қағаз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форматында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концелярияға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жібереді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DE628A5" w14:textId="77777777" w:rsidR="00E4263E" w:rsidRPr="00F70922" w:rsidRDefault="00E4263E" w:rsidP="00E4263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Мекен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жайы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Қосшы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қаласы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Республика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көшесі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46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ғимарат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байланыс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телефоны: 87172607746</w:t>
      </w:r>
    </w:p>
    <w:p w14:paraId="2C86E6A4" w14:textId="77777777" w:rsidR="00E4263E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   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Балаларға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қосымша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беруге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мемлекеттік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беру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тапсырысын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орналастыруға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үміткер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ұйымдар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бөліміне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аумақтылығы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proofErr w:type="gram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мынадай</w:t>
      </w:r>
      <w:proofErr w:type="spellEnd"/>
      <w:proofErr w:type="gram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құжаттарды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ұсынады</w:t>
      </w:r>
      <w:proofErr w:type="spellEnd"/>
      <w:r w:rsidR="00E4263E"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F70922">
        <w:rPr>
          <w:rFonts w:ascii="Times New Roman" w:hAnsi="Times New Roman" w:cs="Times New Roman"/>
          <w:sz w:val="28"/>
          <w:szCs w:val="28"/>
          <w:lang w:val="ru-KZ"/>
        </w:rPr>
        <w:t>    </w:t>
      </w:r>
    </w:p>
    <w:p w14:paraId="261C193B" w14:textId="3D66D1AE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 1)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өтініш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F00B75D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2)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заңды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тұлға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құрмайтын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бағдарламаларын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асыратын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кәсіпкерлерді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қоспағанда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Жарғысы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қағидалардың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құрылтай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шартының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798736D6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3)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пайдаланатын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жылжымайтын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мүлікке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құқық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белгілейтін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жалдау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шарты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34F9798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4)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заңнамасына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балаларға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бағдарламалары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F7772C5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5)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педагогтер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47AAD29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6)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бірінші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санаттағы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, педагог-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, педагог-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зерттеуші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, педагог-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шебер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біліктілік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санаттары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педагогтердің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санынан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педагогикалық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құрамның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санының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кемінде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10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пайызы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151BD36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7)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тәжірибесі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жарғыға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құрылтай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құжаттарымен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шарттармен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);</w:t>
      </w:r>
    </w:p>
    <w:p w14:paraId="77D486BF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8)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балаларға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асырылатын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бағдарламаларын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көрсете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ҰБДҚ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жүйесінде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тіркеу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F424E31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>      9) «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Рұқсаттар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хабарламалар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Заңға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эпидемиологиялық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шамалы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объекті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қызметінің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пайдаланылуының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басталуы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тоқтатылуы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хабарламалар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DBE6A92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10)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заңды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тұлғаны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кәсіпкерді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тіркеу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тіркеу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жылжымайтын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мүлікке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тіркелген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құқықтар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ауыртпалықтар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сипаттамалары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F34A311" w14:textId="7CBD3ADB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  11)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санитарлық-эпидемиологиялық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жағдайдың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Халықтың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санитариялық-эпидемиологиялық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саламаттылығы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қызметтерді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көрсетудің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кейбір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Денсаулық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2020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30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желтоқсандағы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№ ҚР ДСМ-336/2020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бұйрығына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актілерді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тіркеу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тізілімінде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№ 22004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тіркелген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ұйымдарында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күндізгі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болу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ұзақтығы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төрт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сағат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одан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болғанда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балаларды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тамақтандыруды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1607321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  12)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балалардың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беруге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тапсырысын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орналастыруға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тапсырғанға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дейін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кемінде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ай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бұрын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кірістер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органдарында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есепке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жүргізілетін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берешектің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жоқ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екендігі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мәліметтер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C2D9C6B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13)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өртке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қауіпсіздік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жүйелері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CD69022" w14:textId="2A3B411A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      14)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нұсқаулыққа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терроризмге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талаптары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Нұсқаулыққа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қалаларда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орналасқан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толымдылығына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қарамастан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объектілері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міндетті</w:t>
      </w:r>
      <w:proofErr w:type="spellEnd"/>
      <w:r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түрде</w:t>
      </w:r>
      <w:proofErr w:type="spellEnd"/>
      <w:r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жарақтандырылады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:</w:t>
      </w:r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Ескерту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. 66-тармақ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редакцияда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-ҚР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ағарту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2022.12.05 № 485 (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алғашқы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ресми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жарияланған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күнінен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кейін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қолданысқа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енгізіледі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бұйрығымен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өзгеріс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енгізілді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-ҚР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ағарту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04.04.2024 № 73 (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алғашқы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ресми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жарияланған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күнінен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кейін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күнтізбелік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он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күн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өткен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соң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қолданысқа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енгізіледі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бұйрығымен</w:t>
      </w:r>
      <w:proofErr w:type="spellEnd"/>
      <w:r w:rsidR="00044FA2" w:rsidRPr="00F7092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673A555" w14:textId="77777777" w:rsidR="004E0CB1" w:rsidRPr="00F70922" w:rsidRDefault="004E0CB1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1)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Ішкі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2014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26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желтоқсандағы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№ 945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бұйрығымен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бекітілген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бейбіт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соғыс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уақытындағы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төтенше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жағдайлар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халықты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органдарды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азаматтық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құлақтандыру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жүйесін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қағидаларына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келетін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құлақтандыру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жүйесімен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</w:p>
    <w:p w14:paraId="0D63A35D" w14:textId="77777777" w:rsidR="004E0CB1" w:rsidRPr="00F70922" w:rsidRDefault="004E0CB1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2)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бейнебақылау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жүйесі</w:t>
      </w:r>
      <w:proofErr w:type="spellEnd"/>
    </w:p>
    <w:p w14:paraId="16E71542" w14:textId="77777777" w:rsidR="004E0CB1" w:rsidRPr="00F70922" w:rsidRDefault="004E0CB1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3)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аумақтық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ішкі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органдарының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не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күзет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қызметі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субъектілерінің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кезекші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бөлімдеріне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орталықтандырылған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пультіне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дабыл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түймесі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шығара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мобильді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стационарлық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дабыл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құралымен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етіледі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Күзет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қызметі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субъектілерінің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орталықтандырылған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пультіне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дабыл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сигналы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түскен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ішкі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істер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органдарын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дереу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хабардар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етеді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; </w:t>
      </w:r>
    </w:p>
    <w:p w14:paraId="635255F9" w14:textId="427ED611" w:rsidR="008565E4" w:rsidRPr="00F70922" w:rsidRDefault="004E0CB1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қабылдау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2025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19-25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желтоқсанды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қоса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алғанда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жүргізіледі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балаға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төлем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құны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12235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теңге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. Комиссия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тіркеу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аяқталған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күннен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бастап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15 (он бес)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күні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ұйымдар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ұсынған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құжаттарды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тігілген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нөмірленген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басшысының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қолымен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расталған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70922">
        <w:rPr>
          <w:rFonts w:ascii="Times New Roman" w:hAnsi="Times New Roman" w:cs="Times New Roman"/>
          <w:sz w:val="28"/>
          <w:szCs w:val="28"/>
          <w:lang w:val="ru-KZ"/>
        </w:rPr>
        <w:t>қарайды</w:t>
      </w:r>
      <w:proofErr w:type="spellEnd"/>
      <w:r w:rsidRPr="00F7092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38F172A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1F34BE1" w14:textId="77777777" w:rsidR="004017D1" w:rsidRPr="00F70922" w:rsidRDefault="004017D1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564F11F" w14:textId="77777777" w:rsidR="004017D1" w:rsidRDefault="004017D1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A8F8F90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CC8349B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4D1D16B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A3FAD31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FF52439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8576361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947B3DD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57CC3F9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925B394" w14:textId="77777777" w:rsidR="00835BD9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8609C3B" w14:textId="77777777" w:rsidR="00835BD9" w:rsidRPr="00F70922" w:rsidRDefault="00835BD9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D23145D" w14:textId="77777777" w:rsidR="004017D1" w:rsidRPr="00F70922" w:rsidRDefault="004017D1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5EA61E9" w14:textId="77777777" w:rsidR="003C3B2B" w:rsidRPr="00F70922" w:rsidRDefault="003C3B2B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12D85EB" w14:textId="77777777" w:rsidR="00E4263E" w:rsidRPr="00F70922" w:rsidRDefault="00E4263E" w:rsidP="003C3B2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E4263E" w:rsidRPr="00F7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DE"/>
    <w:rsid w:val="00044FA2"/>
    <w:rsid w:val="00057761"/>
    <w:rsid w:val="00087017"/>
    <w:rsid w:val="00120DB1"/>
    <w:rsid w:val="00145581"/>
    <w:rsid w:val="001A1C40"/>
    <w:rsid w:val="002B2F1C"/>
    <w:rsid w:val="003C3B2B"/>
    <w:rsid w:val="003C47D7"/>
    <w:rsid w:val="004017D1"/>
    <w:rsid w:val="004D4F6C"/>
    <w:rsid w:val="004D7A68"/>
    <w:rsid w:val="004E0CB1"/>
    <w:rsid w:val="00715503"/>
    <w:rsid w:val="00801EFC"/>
    <w:rsid w:val="00835BD9"/>
    <w:rsid w:val="008565E4"/>
    <w:rsid w:val="008A68AE"/>
    <w:rsid w:val="008E324C"/>
    <w:rsid w:val="00A86DF8"/>
    <w:rsid w:val="00B764AA"/>
    <w:rsid w:val="00B81DDE"/>
    <w:rsid w:val="00D72376"/>
    <w:rsid w:val="00E4263E"/>
    <w:rsid w:val="00F01470"/>
    <w:rsid w:val="00F7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59"/>
  <w15:chartTrackingRefBased/>
  <w15:docId w15:val="{61CBF9F5-F6BE-4795-A7D5-5D4D007F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D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81D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81DDE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1DDE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81DDE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81DDE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81DDE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81DDE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81DDE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8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DD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8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DDE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8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DDE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81D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D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DDE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81D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3B2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3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shy.obrazovania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Образования Отдел</dc:creator>
  <cp:keywords/>
  <dc:description/>
  <cp:lastModifiedBy>Образования Отдел</cp:lastModifiedBy>
  <cp:revision>10</cp:revision>
  <cp:lastPrinted>2025-12-17T06:47:00Z</cp:lastPrinted>
  <dcterms:created xsi:type="dcterms:W3CDTF">2025-12-19T04:49:00Z</dcterms:created>
  <dcterms:modified xsi:type="dcterms:W3CDTF">2025-12-19T05:54:00Z</dcterms:modified>
</cp:coreProperties>
</file>